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330" w:lineRule="atLeast"/>
        <w:ind w:left="0" w:right="0" w:firstLine="0"/>
        <w:jc w:val="center"/>
        <w:rPr>
          <w:rFonts w:hint="eastAsia" w:ascii="黑体" w:hAnsi="黑体" w:eastAsia="黑体" w:cs="黑体"/>
          <w:sz w:val="32"/>
          <w:szCs w:val="32"/>
        </w:rPr>
      </w:pPr>
      <w:bookmarkStart w:id="0" w:name="_Toc648878938"/>
      <w:bookmarkStart w:id="1" w:name="_Toc1401332900"/>
      <w:bookmarkStart w:id="2" w:name="_Toc103690320"/>
      <w:r>
        <w:rPr>
          <w:rFonts w:hint="eastAsia" w:ascii="黑体" w:hAnsi="黑体" w:eastAsia="黑体" w:cs="黑体"/>
          <w:sz w:val="32"/>
          <w:szCs w:val="32"/>
        </w:rPr>
        <w:t>电子税务局社保费系统缴费操作手</w:t>
      </w:r>
      <w:bookmarkStart w:id="12" w:name="_GoBack"/>
      <w:bookmarkEnd w:id="12"/>
      <w:r>
        <w:rPr>
          <w:rFonts w:hint="eastAsia" w:ascii="黑体" w:hAnsi="黑体" w:eastAsia="黑体" w:cs="黑体"/>
          <w:sz w:val="32"/>
          <w:szCs w:val="32"/>
        </w:rPr>
        <w:t>册（城乡居民）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330" w:lineRule="atLeast"/>
        <w:ind w:left="0" w:right="0" w:firstLine="0"/>
        <w:jc w:val="center"/>
      </w:pP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注册</w:t>
      </w:r>
      <w:bookmarkEnd w:id="0"/>
      <w:bookmarkEnd w:id="1"/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对于还没有自然人账号的，通过点击【用户注册】进入账户注册界面，如下图所示：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5420" cy="2469515"/>
            <wp:effectExtent l="0" t="0" r="7620" b="14605"/>
            <wp:docPr id="6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9865" cy="2420620"/>
            <wp:effectExtent l="0" t="0" r="3175" b="2540"/>
            <wp:docPr id="2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在线注册时，需分步完成服务协议的阅读及勾选、基本信息校验（已注册过的自然人不允许重复注册）、用户信息填写（用户名密码校验）和人脸识别验证，即可完成注册，如下图所示：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2245" cy="2428240"/>
            <wp:effectExtent l="0" t="0" r="10795" b="10160"/>
            <wp:docPr id="3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4785" cy="2460625"/>
            <wp:effectExtent l="0" t="0" r="8255" b="8255"/>
            <wp:docPr id="3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人脸识别使用税务app扫码，注册完成后即可登录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372610" cy="2096770"/>
            <wp:effectExtent l="0" t="0" r="1270" b="6350"/>
            <wp:docPr id="40" name="图片 5" descr="1658799233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1658799233(1)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hint="default" w:ascii="仿宋_GB2312" w:eastAsia="仿宋_GB2312"/>
          <w:b/>
          <w:sz w:val="32"/>
          <w:szCs w:val="32"/>
          <w:lang w:eastAsia="zh-Hans"/>
        </w:rPr>
      </w:pPr>
      <w:bookmarkStart w:id="3" w:name="_Toc748893651"/>
      <w:bookmarkStart w:id="4" w:name="_Toc786351500"/>
      <w:r>
        <w:rPr>
          <w:rFonts w:hint="eastAsia" w:ascii="仿宋_GB2312" w:eastAsia="仿宋_GB2312"/>
          <w:b/>
          <w:sz w:val="32"/>
          <w:szCs w:val="32"/>
          <w:lang w:val="en-US" w:eastAsia="zh-Hans"/>
        </w:rPr>
        <w:t>登录</w:t>
      </w:r>
      <w:bookmarkEnd w:id="3"/>
      <w:bookmarkEnd w:id="4"/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5" w:name="_Toc595296862"/>
      <w:r>
        <w:rPr>
          <w:rFonts w:hint="eastAsia" w:ascii="仿宋_GB2312" w:eastAsia="仿宋_GB2312"/>
          <w:b/>
          <w:sz w:val="32"/>
          <w:szCs w:val="32"/>
        </w:rPr>
        <w:t>密码登录</w:t>
      </w:r>
      <w:bookmarkEnd w:id="5"/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自然人通过密码登录的方式有三种，分别是“用户名登录”“手机号登录”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和</w:t>
      </w:r>
      <w:r>
        <w:rPr>
          <w:rFonts w:hint="eastAsia" w:ascii="仿宋_GB2312" w:eastAsia="仿宋_GB2312"/>
          <w:sz w:val="32"/>
          <w:szCs w:val="32"/>
        </w:rPr>
        <w:t>“证件登录”，每种</w:t>
      </w:r>
      <w:r>
        <w:rPr>
          <w:rFonts w:hint="eastAsia" w:ascii="仿宋_GB2312" w:eastAsia="仿宋_GB2312"/>
          <w:sz w:val="32"/>
          <w:szCs w:val="32"/>
          <w:lang w:eastAsia="zh-CN"/>
        </w:rPr>
        <w:t>登录</w:t>
      </w:r>
      <w:r>
        <w:rPr>
          <w:rFonts w:hint="eastAsia" w:ascii="仿宋_GB2312" w:eastAsia="仿宋_GB2312"/>
          <w:sz w:val="32"/>
          <w:szCs w:val="32"/>
        </w:rPr>
        <w:t>方式都分两步完成校验，第二步一致。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一</w:t>
      </w:r>
      <w:r>
        <w:rPr>
          <w:rFonts w:hint="eastAsia" w:ascii="仿宋_GB2312" w:eastAsia="仿宋_GB2312"/>
          <w:sz w:val="32"/>
          <w:szCs w:val="32"/>
        </w:rPr>
        <w:t>步】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输入个人</w:t>
      </w:r>
      <w:r>
        <w:rPr>
          <w:rFonts w:hint="eastAsia" w:ascii="仿宋_GB2312" w:eastAsia="仿宋_GB2312"/>
          <w:sz w:val="32"/>
          <w:szCs w:val="32"/>
        </w:rPr>
        <w:t>居民身份证号码/手机号码/用户名和个人用户密码，输入完毕后将滑块拖到最右边，点击【登录】按钮。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872990" cy="2129790"/>
            <wp:effectExtent l="0" t="0" r="3810" b="3810"/>
            <wp:docPr id="3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【第二步】完成密码校验后，用户可以选择扫码验证或短信验证方式进行登录。如下图所示：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739005" cy="2122170"/>
            <wp:effectExtent l="0" t="0" r="635" b="11430"/>
            <wp:docPr id="3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证件类型默认居民身份证，自然人用户需根据实际情况选择“港澳居民来往内地通行证”“台湾居民来往大陆通行证”“中国护照”“外国人永久居留证”“中华人民共和国港澳居民居住证”“中华人民共和国台湾居民居住证”“外国护照”“中华人民共和国外国人工作许可证（A类）” “中华人民共和国外国人工作许可证（B类）” “中华人民共和国外国人工作许可证（C类）”。</w:t>
      </w:r>
    </w:p>
    <w:p>
      <w:pPr>
        <w:ind w:firstLine="0" w:firstLineChars="0"/>
        <w:jc w:val="center"/>
      </w:pP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6" w:name="_Toc28048261"/>
      <w:bookmarkStart w:id="7" w:name="_Toc103769042"/>
      <w:r>
        <w:rPr>
          <w:rFonts w:hint="eastAsia" w:ascii="仿宋_GB2312" w:eastAsia="仿宋_GB2312"/>
          <w:b/>
          <w:sz w:val="32"/>
          <w:szCs w:val="32"/>
        </w:rPr>
        <w:t>扫码登录</w:t>
      </w:r>
      <w:bookmarkEnd w:id="6"/>
      <w:bookmarkEnd w:id="7"/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自然人点击扫码登录，进入扫码登录界面，可以选择 “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青岛</w:t>
      </w:r>
      <w:r>
        <w:rPr>
          <w:rFonts w:hint="eastAsia" w:ascii="仿宋_GB2312" w:eastAsia="仿宋_GB2312"/>
          <w:sz w:val="32"/>
          <w:szCs w:val="32"/>
        </w:rPr>
        <w:t>税务APP扫码”</w:t>
      </w:r>
      <w:r>
        <w:rPr>
          <w:rFonts w:hint="eastAsia" w:ascii="仿宋_GB2312" w:eastAsia="仿宋_GB2312"/>
          <w:sz w:val="32"/>
          <w:szCs w:val="32"/>
          <w:lang w:eastAsia="zh-CN"/>
        </w:rPr>
        <w:t>或“个人所得税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APP扫码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</w:rPr>
        <w:t>方式登录。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青岛税务App扫码：打开青岛税务APP（手机税税通），先进行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个人</w:t>
      </w:r>
      <w:r>
        <w:rPr>
          <w:rFonts w:hint="eastAsia" w:ascii="仿宋_GB2312" w:eastAsia="仿宋_GB2312"/>
          <w:sz w:val="32"/>
          <w:szCs w:val="32"/>
        </w:rPr>
        <w:t>登录，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个人</w:t>
      </w:r>
      <w:r>
        <w:rPr>
          <w:rFonts w:hint="eastAsia" w:ascii="仿宋_GB2312" w:eastAsia="仿宋_GB2312"/>
          <w:sz w:val="32"/>
          <w:szCs w:val="32"/>
        </w:rPr>
        <w:t>登录成功后，再返回APP首页，点击右上角“</w:t>
      </w:r>
      <w:r>
        <w:rPr>
          <w:rFonts w:hint="default"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”，弹出扫一扫，点击扫一扫，扫描图中的二维码即可完成登录。</w:t>
      </w:r>
    </w:p>
    <w:p>
      <w:pPr>
        <w:ind w:firstLine="480"/>
        <w:rPr>
          <w:rFonts w:hint="eastAsia"/>
        </w:rPr>
      </w:pPr>
    </w:p>
    <w:p>
      <w:pPr>
        <w:spacing w:line="360" w:lineRule="auto"/>
        <w:jc w:val="left"/>
      </w:pPr>
      <w:r>
        <w:drawing>
          <wp:inline distT="0" distB="0" distL="114300" distR="114300">
            <wp:extent cx="5265420" cy="2202815"/>
            <wp:effectExtent l="0" t="0" r="7620" b="6985"/>
            <wp:docPr id="4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/>
          <w:b/>
          <w:bCs/>
          <w:lang w:val="en-US" w:eastAsia="zh-Hans"/>
        </w:rPr>
        <w:t>个人所得税</w:t>
      </w:r>
      <w:r>
        <w:rPr>
          <w:rFonts w:hint="default"/>
          <w:b/>
          <w:bCs/>
          <w:lang w:eastAsia="zh-Hans"/>
        </w:rPr>
        <w:t>APP</w:t>
      </w:r>
      <w:r>
        <w:rPr>
          <w:rFonts w:hint="eastAsia"/>
          <w:b/>
          <w:bCs/>
          <w:lang w:val="en-US" w:eastAsia="zh-Hans"/>
        </w:rPr>
        <w:t>扫码</w:t>
      </w:r>
      <w:r>
        <w:rPr>
          <w:rFonts w:hint="default"/>
          <w:b/>
          <w:bCs/>
          <w:lang w:eastAsia="zh-Hans"/>
        </w:rPr>
        <w:t>：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打开个人所得税</w:t>
      </w:r>
      <w:r>
        <w:rPr>
          <w:rFonts w:hint="default" w:ascii="仿宋_GB2312" w:eastAsia="仿宋_GB2312"/>
          <w:sz w:val="32"/>
          <w:szCs w:val="32"/>
          <w:lang w:eastAsia="zh-Hans"/>
        </w:rPr>
        <w:t>APP，</w:t>
      </w:r>
      <w:r>
        <w:rPr>
          <w:rFonts w:hint="eastAsia" w:ascii="仿宋_GB2312" w:eastAsia="仿宋_GB2312"/>
          <w:sz w:val="32"/>
          <w:szCs w:val="32"/>
        </w:rPr>
        <w:t>先进行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个人</w:t>
      </w:r>
      <w:r>
        <w:rPr>
          <w:rFonts w:hint="eastAsia" w:ascii="仿宋_GB2312" w:eastAsia="仿宋_GB2312"/>
          <w:sz w:val="32"/>
          <w:szCs w:val="32"/>
        </w:rPr>
        <w:t>登录，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个人</w:t>
      </w:r>
      <w:r>
        <w:rPr>
          <w:rFonts w:hint="eastAsia" w:ascii="仿宋_GB2312" w:eastAsia="仿宋_GB2312"/>
          <w:sz w:val="32"/>
          <w:szCs w:val="32"/>
        </w:rPr>
        <w:t>登录成功后，再返回APP首页，点击右上角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扫码</w:t>
      </w:r>
      <w:r>
        <w:rPr>
          <w:rFonts w:hint="default" w:ascii="仿宋_GB2312" w:eastAsia="仿宋_GB2312"/>
          <w:sz w:val="32"/>
          <w:szCs w:val="32"/>
          <w:lang w:eastAsia="zh-Hans"/>
        </w:rPr>
        <w:t>[—]，</w:t>
      </w:r>
      <w:r>
        <w:rPr>
          <w:rFonts w:hint="eastAsia" w:ascii="仿宋_GB2312" w:eastAsia="仿宋_GB2312"/>
          <w:sz w:val="32"/>
          <w:szCs w:val="32"/>
        </w:rPr>
        <w:t>扫描图中的二维码即可完成登录。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1135" cy="2238375"/>
            <wp:effectExtent l="0" t="0" r="1905" b="1905"/>
            <wp:docPr id="1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8" w:name="_Toc1108203934"/>
      <w:bookmarkStart w:id="9" w:name="_Toc253937290"/>
      <w:r>
        <w:rPr>
          <w:rFonts w:hint="eastAsia" w:ascii="仿宋_GB2312" w:eastAsia="仿宋_GB2312"/>
          <w:b/>
          <w:sz w:val="32"/>
          <w:szCs w:val="32"/>
          <w:lang w:val="en-US" w:eastAsia="zh-Hans"/>
        </w:rPr>
        <w:t>找回手机号</w:t>
      </w:r>
      <w:bookmarkEnd w:id="8"/>
      <w:bookmarkEnd w:id="9"/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如果忘记预留的手机号或手机号被别人占用，可以点击【找回手机号码】按钮进入找回手机号页面录入相关信息找回手机号码，如下图所示：</w:t>
      </w:r>
    </w:p>
    <w:p>
      <w:pPr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4730115" cy="2054860"/>
            <wp:effectExtent l="0" t="0" r="9525" b="2540"/>
            <wp:docPr id="5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269230" cy="2061210"/>
            <wp:effectExtent l="0" t="0" r="3810" b="11430"/>
            <wp:docPr id="6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2"/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0" w:name="_Toc874026441"/>
      <w:bookmarkStart w:id="11" w:name="_Toc457848307"/>
      <w:r>
        <w:rPr>
          <w:rFonts w:hint="eastAsia" w:ascii="仿宋_GB2312" w:eastAsia="仿宋_GB2312"/>
          <w:b/>
          <w:sz w:val="32"/>
          <w:szCs w:val="32"/>
          <w:lang w:val="en-US" w:eastAsia="zh-Hans"/>
        </w:rPr>
        <w:t>忘记密码</w:t>
      </w:r>
      <w:bookmarkEnd w:id="10"/>
      <w:bookmarkEnd w:id="11"/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对于忘记自然人密码的用户，通过点击【忘记密码】按钮进入忘记密码界面，如下图所示：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9865" cy="2420620"/>
            <wp:effectExtent l="0" t="0" r="3175" b="2540"/>
            <wp:docPr id="1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输入账户信息后进入身份验证模块，通过短信验证</w:t>
      </w:r>
      <w:r>
        <w:rPr>
          <w:rFonts w:hint="eastAsia" w:ascii="仿宋_GB2312" w:eastAsia="仿宋_GB2312"/>
          <w:sz w:val="32"/>
          <w:szCs w:val="32"/>
          <w:lang w:val="en-US" w:eastAsia="zh-Hans"/>
        </w:rPr>
        <w:t>或扫码验证</w:t>
      </w:r>
      <w:r>
        <w:rPr>
          <w:rFonts w:hint="eastAsia" w:ascii="仿宋_GB2312" w:eastAsia="仿宋_GB2312"/>
          <w:sz w:val="32"/>
          <w:szCs w:val="32"/>
        </w:rPr>
        <w:t>方式进行身份验证，如下图所示：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6690" cy="2202815"/>
            <wp:effectExtent l="0" t="0" r="6350" b="6985"/>
            <wp:docPr id="12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0500" cy="2414270"/>
            <wp:effectExtent l="0" t="0" r="2540" b="8890"/>
            <wp:docPr id="1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完成身份验证后即可设置新密码，如下图所示：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9865" cy="2287905"/>
            <wp:effectExtent l="0" t="0" r="3175" b="13335"/>
            <wp:docPr id="18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3040" cy="2432050"/>
            <wp:effectExtent l="0" t="0" r="0" b="6350"/>
            <wp:docPr id="21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我的信息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登录后，显示缴费人的参保登记信息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274310" cy="1428115"/>
            <wp:effectExtent l="0" t="0" r="2540" b="635"/>
            <wp:docPr id="35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t>核定信息</w:t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该功能包含了</w:t>
      </w:r>
      <w:r>
        <w:rPr>
          <w:rFonts w:hint="eastAsia" w:ascii="仿宋_GB2312" w:eastAsia="仿宋_GB2312"/>
          <w:sz w:val="32"/>
          <w:szCs w:val="32"/>
          <w:lang w:eastAsia="zh-CN"/>
        </w:rPr>
        <w:t>已开票未缴纳、未开票未缴纳、特殊缴费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  <w:lang w:eastAsia="zh-CN"/>
        </w:rPr>
        <w:t>征集</w:t>
      </w:r>
      <w:r>
        <w:rPr>
          <w:rFonts w:hint="eastAsia" w:ascii="仿宋_GB2312" w:eastAsia="仿宋_GB2312"/>
          <w:sz w:val="32"/>
          <w:szCs w:val="32"/>
        </w:rPr>
        <w:t>信息。</w:t>
      </w:r>
    </w:p>
    <w:p>
      <w:pPr>
        <w:jc w:val="left"/>
      </w:pPr>
      <w:r>
        <w:drawing>
          <wp:inline distT="0" distB="0" distL="114300" distR="114300">
            <wp:extent cx="5271135" cy="659130"/>
            <wp:effectExtent l="0" t="0" r="1905" b="11430"/>
            <wp:docPr id="6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居民养老申报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点击居民养老申报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0500" cy="1436370"/>
            <wp:effectExtent l="0" t="0" r="6350" b="11430"/>
            <wp:docPr id="3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页面展示纳税人个人信息，选择缴费所属年度以及可选的缴费档次信息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5420" cy="2863850"/>
            <wp:effectExtent l="0" t="0" r="11430" b="12700"/>
            <wp:docPr id="4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选择缴费金额后，点击“确认金额”按钮后弹出提示，此时应缴费额设置成功，根据提示进行下一步操作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3467100" cy="1876425"/>
            <wp:effectExtent l="0" t="0" r="0" b="9525"/>
            <wp:docPr id="4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若选择“关闭”按钮，系统即返回主页，等待税务部门统一批量扣款即可，若点击“继续缴费”，弹出以下提示</w:t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33650" cy="1504950"/>
            <wp:effectExtent l="0" t="0" r="0" b="0"/>
            <wp:docPr id="4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关闭提示后，系统自动返回主页，在“核定信息”一栏显示纳税人应缴费信息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150" cy="1991360"/>
            <wp:effectExtent l="0" t="0" r="12700" b="8890"/>
            <wp:docPr id="4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若申报信息填写有误，可点击“作废申报”按钮进行作废，待提示“作废成功”后重新进行申报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0500" cy="1713865"/>
            <wp:effectExtent l="0" t="0" r="6350" b="635"/>
            <wp:docPr id="4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重新进入“居民养老申报”页面时，展示纳税人申报的“应缴金额”，若希望重新申报，在“个人实缴金额”下拉框中修改，修改完毕后，点击下方“确认金额”按钮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0500" cy="2882265"/>
            <wp:effectExtent l="0" t="0" r="6350" b="13335"/>
            <wp:docPr id="4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若申报信息无误，点击“继续缴费”后系统查询到纳税人签署的银行代扣协议信息列表，选中本次使用的协议信息，点击“确定”，缴费成功后返回成功提示。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9230" cy="1343660"/>
            <wp:effectExtent l="0" t="0" r="7620" b="8890"/>
            <wp:docPr id="4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若纳税人未签署银行代扣协议，系统弹出提示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1985645"/>
            <wp:effectExtent l="0" t="0" r="7620" b="14605"/>
            <wp:docPr id="4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如申报时纳税人无对应的缴费登记信息，则提示：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498090"/>
            <wp:effectExtent l="0" t="0" r="11430" b="16510"/>
            <wp:docPr id="5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居民医疗申报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点击“居民医疗申报”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1397635"/>
            <wp:effectExtent l="0" t="0" r="7620" b="12065"/>
            <wp:docPr id="5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页面展示纳税人个人信息，选择缴费所属年度以及可选的缴费档次信息</w:t>
      </w:r>
      <w:r>
        <w:drawing>
          <wp:inline distT="0" distB="0" distL="114300" distR="114300">
            <wp:extent cx="5272405" cy="2527935"/>
            <wp:effectExtent l="0" t="0" r="4445" b="5715"/>
            <wp:docPr id="5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选择缴费档次并确认无误后点击“申报”，返回“申报成功”提示后，点击“确定”自动关闭弹出框并返回主页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533650" cy="1428750"/>
            <wp:effectExtent l="0" t="0" r="0" b="0"/>
            <wp:docPr id="5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“核定信息”一栏显示纳税人应缴费信息</w:t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1770" cy="2245360"/>
            <wp:effectExtent l="0" t="0" r="5080" b="2540"/>
            <wp:docPr id="5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若申报信息填写有误，可点击“作废申报”按钮进行作废，待提示“作废成功”后重新进行申报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6055" cy="2068195"/>
            <wp:effectExtent l="0" t="0" r="10795" b="8255"/>
            <wp:docPr id="5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若申报信息无误，点击“继续缴费”后系统查询到您签署的银行代扣协议信息列表，选中本次使用的协议信息，点击“确定”，缴费成功后返回成功提示。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9230" cy="1343660"/>
            <wp:effectExtent l="0" t="0" r="7620" b="8890"/>
            <wp:docPr id="5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若纳税人未签署银行代扣协议，系统弹出提示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8595" cy="2118360"/>
            <wp:effectExtent l="0" t="0" r="8255" b="15240"/>
            <wp:docPr id="5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如纳税人申报时无对应的缴费登记信息，则提示：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583180"/>
            <wp:effectExtent l="0" t="0" r="6350" b="7620"/>
            <wp:docPr id="5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我要办理</w:t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委托扣款协议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第一步：登录后，点击“我要办理”，点击“个人扣款协议”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4991100" cy="2522220"/>
            <wp:effectExtent l="0" t="0" r="7620" b="7620"/>
            <wp:docPr id="63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第二步：</w:t>
      </w:r>
    </w:p>
    <w:p>
      <w:pPr>
        <w:numPr>
          <w:ilvl w:val="0"/>
          <w:numId w:val="3"/>
        </w:num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新增协议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点击“新增协议”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59070" cy="648970"/>
            <wp:effectExtent l="0" t="0" r="17780" b="17780"/>
            <wp:docPr id="1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选择参保人为本人：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输入协议内容，点击“确认签约”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,可勾选开通自动缴费（只支持居民养老自动缴费）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6690" cy="3115945"/>
            <wp:effectExtent l="0" t="0" r="10160" b="825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numPr>
          <w:ilvl w:val="0"/>
          <w:numId w:val="3"/>
        </w:num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撤销协议</w:t>
      </w:r>
    </w:p>
    <w:p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点击“撤销协议”，在弹出的提示框中，点击“确认撤销”。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59070" cy="764540"/>
            <wp:effectExtent l="0" t="0" r="17780" b="16510"/>
            <wp:docPr id="37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3771900" cy="2181225"/>
            <wp:effectExtent l="0" t="0" r="0" b="9525"/>
            <wp:docPr id="91" name="图片 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7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自动缴费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点击开关，选择是否自动缴费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8595" cy="800100"/>
            <wp:effectExtent l="0" t="0" r="8255" b="0"/>
            <wp:docPr id="38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下载缴费清单</w:t>
      </w:r>
    </w:p>
    <w:p>
      <w:pPr>
        <w:spacing w:line="360" w:lineRule="auto"/>
        <w:jc w:val="left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第一步：登录后，点击“我要办理”，点击“下载缴费清单”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2543810"/>
            <wp:effectExtent l="0" t="0" r="13970" b="1270"/>
            <wp:docPr id="64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8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第二步：点击“新增下载”。输入缴款所属期起止，点击“查询”。查询完成后，点击“下载”。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8595" cy="847725"/>
            <wp:effectExtent l="0" t="0" r="8255" b="9525"/>
            <wp:docPr id="16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drawing>
          <wp:inline distT="0" distB="0" distL="114300" distR="114300">
            <wp:extent cx="5268595" cy="1236345"/>
            <wp:effectExtent l="0" t="0" r="8255" b="1905"/>
            <wp:docPr id="17" name="图片 17" descr="1603447946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3447946(1)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下载完税（费）证明</w:t>
      </w:r>
    </w:p>
    <w:p>
      <w:pPr>
        <w:spacing w:line="360" w:lineRule="auto"/>
        <w:jc w:val="left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登录后，点击“我要办理”，点击“下载完税（费）证明”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2392045"/>
            <wp:effectExtent l="0" t="0" r="3810" b="635"/>
            <wp:docPr id="65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2"/>
        </w:numPr>
        <w:spacing w:line="600" w:lineRule="exact"/>
        <w:ind w:left="0" w:firstLine="0"/>
        <w:outlineLvl w:val="2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开具税收完税（费）证明（非印刷）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1551305"/>
            <wp:effectExtent l="0" t="0" r="11430" b="10795"/>
            <wp:docPr id="19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输入费款所属期起止，点击“查询”。选择查询到的数据，点击“开具”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4150" cy="1297305"/>
            <wp:effectExtent l="0" t="0" r="12700" b="17145"/>
            <wp:docPr id="2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可查看并下载完税（费）证明。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0975" cy="2912745"/>
            <wp:effectExtent l="0" t="0" r="15875" b="1905"/>
            <wp:docPr id="2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点击“查看明细”，查看该条信息的明细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880" cy="1214120"/>
            <wp:effectExtent l="0" t="0" r="13970" b="5080"/>
            <wp:docPr id="2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114300" distR="114300">
            <wp:extent cx="5269230" cy="1648460"/>
            <wp:effectExtent l="0" t="0" r="7620" b="8890"/>
            <wp:docPr id="25" name="图片 25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2"/>
        </w:numPr>
        <w:spacing w:line="600" w:lineRule="exact"/>
        <w:ind w:left="0" w:firstLine="0"/>
        <w:outlineLvl w:val="2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补开税收完税（费）证明（非印刷）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点击“补开税收完税（费）证明（非印刷）”，输入开具日期起止、票证号码，点击“查询”。选择查询到的数据，点击“补开”,可下载完税（费）证明。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8595" cy="1457960"/>
            <wp:effectExtent l="0" t="0" r="8255" b="8890"/>
            <wp:docPr id="28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社保费退费业务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675" cy="2426970"/>
            <wp:effectExtent l="0" t="0" r="14605" b="11430"/>
            <wp:docPr id="68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2"/>
        </w:numPr>
        <w:spacing w:line="600" w:lineRule="exact"/>
        <w:ind w:left="0" w:firstLine="0"/>
        <w:outlineLvl w:val="2"/>
        <w:rPr>
          <w:rFonts w:hint="eastAsia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提交退费申请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选择办理人（默认为本人）如希望替他人办理退费，输入退费人信息后，点击“确认”，等待系统弹出确认成功的提示，系统自动返回上一级页面。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837815"/>
            <wp:effectExtent l="0" t="0" r="4445" b="12065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453005"/>
            <wp:effectExtent l="0" t="0" r="8255" b="63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735455"/>
            <wp:effectExtent l="0" t="0" r="1905" b="1905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选择要退费的“费款所属期”时间期限并点击查询。</w:t>
      </w:r>
    </w:p>
    <w:p>
      <w:r>
        <w:drawing>
          <wp:inline distT="0" distB="0" distL="114300" distR="114300">
            <wp:extent cx="5266055" cy="1843405"/>
            <wp:effectExtent l="0" t="0" r="6985" b="635"/>
            <wp:docPr id="6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选中要退费的信息，点击“申请退费”，弹出资料采集框，输入对应的信息后保存即可提交申请，等待税务人员与医保部门进行审核。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2405" cy="2813685"/>
            <wp:effectExtent l="0" t="0" r="635" b="5715"/>
            <wp:docPr id="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2"/>
          <w:numId w:val="2"/>
        </w:numPr>
        <w:spacing w:line="600" w:lineRule="exact"/>
        <w:ind w:left="0" w:firstLine="0"/>
        <w:outlineLvl w:val="2"/>
        <w:rPr>
          <w:rFonts w:hint="eastAsia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退费进度查询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在左侧菜单栏中选中“退费进度查询”即可查询本人提交的所有退费申请（包括本人替他人代申请的记录）。</w:t>
      </w:r>
    </w:p>
    <w:p>
      <w:r>
        <w:drawing>
          <wp:inline distT="0" distB="0" distL="114300" distR="114300">
            <wp:extent cx="5262880" cy="1243965"/>
            <wp:effectExtent l="0" t="0" r="10160" b="5715"/>
            <wp:docPr id="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点击详情系统展示审核进度。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824230"/>
            <wp:effectExtent l="0" t="0" r="6985" b="13970"/>
            <wp:docPr id="1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我要查询</w:t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缴费情况查询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第一步：登录后，点击“我要查询”，点击“缴费情况查询”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752975" cy="2514600"/>
            <wp:effectExtent l="0" t="0" r="9525" b="0"/>
            <wp:docPr id="2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缴费情况查询分为“已缴纳”和“未缴费”两种情况</w:t>
      </w:r>
    </w:p>
    <w:p>
      <w:pPr>
        <w:numPr>
          <w:ilvl w:val="0"/>
          <w:numId w:val="4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查询“已缴纳”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选择参保登记信息，填写告知单号，点击“查询”。在不选择条件的情况下，点击“查询”，会查询全部信息。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3515" cy="1433195"/>
            <wp:effectExtent l="0" t="0" r="13335" b="14605"/>
            <wp:docPr id="70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点击“查看明细”，可查看缴费明细信息。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040" cy="969010"/>
            <wp:effectExtent l="0" t="0" r="3810" b="2540"/>
            <wp:docPr id="71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查询“未缴费”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选择参保登记信息，填写告知单号，点击“查询”。在不选择条件的情况下，点击“查询”，会查询全部信息。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59070" cy="1137920"/>
            <wp:effectExtent l="0" t="0" r="17780" b="5080"/>
            <wp:docPr id="72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注意：未申报的时候，状态是“未缴费”，已申报未扣款的时候，状态是“未支付。”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960" cy="1051560"/>
            <wp:effectExtent l="0" t="0" r="8890" b="15240"/>
            <wp:docPr id="74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0"/>
                    <pic:cNvPicPr>
                      <a:picLocks noChangeAspect="true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3515" cy="701675"/>
            <wp:effectExtent l="0" t="0" r="13335" b="3175"/>
            <wp:docPr id="75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1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点击“查看明细”，可查看缴费明细信息。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040" cy="969010"/>
            <wp:effectExtent l="0" t="0" r="3810" b="2540"/>
            <wp:docPr id="73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8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“缴费情况查询”与“社保费缴费清单”功能的区别：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缴费情况查询是按照告知单流水号和参保登记信息查询缴费情况。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社保费缴费清单是按照缴费日期查询缴费明细。</w:t>
      </w:r>
    </w:p>
    <w:p>
      <w:pPr>
        <w:numPr>
          <w:ilvl w:val="0"/>
          <w:numId w:val="2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用户管理</w:t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密码修改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第一步：登录后，点击“用户管理”，点击“密码修改”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829175" cy="2571750"/>
            <wp:effectExtent l="0" t="0" r="9525" b="0"/>
            <wp:docPr id="3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第二步：根据提示输入密码及验证码，点击“确认修改”。修改密码成功。</w:t>
      </w:r>
      <w:r>
        <w:drawing>
          <wp:inline distT="0" distB="0" distL="114300" distR="114300">
            <wp:extent cx="5273675" cy="2275840"/>
            <wp:effectExtent l="0" t="0" r="3175" b="10160"/>
            <wp:docPr id="78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安全及通知手机号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第一步：点击“用户管理”，点击“安全及通知手机号”。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762500" cy="2562225"/>
            <wp:effectExtent l="0" t="0" r="0" b="9525"/>
            <wp:docPr id="3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true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第二步：根据提示输入新的通知手机号及验证码，点击“确认修改”。</w:t>
      </w:r>
      <w:r>
        <w:drawing>
          <wp:inline distT="0" distB="0" distL="114300" distR="114300">
            <wp:extent cx="5210175" cy="4743450"/>
            <wp:effectExtent l="0" t="0" r="9525" b="0"/>
            <wp:docPr id="80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092F8A"/>
    <w:multiLevelType w:val="singleLevel"/>
    <w:tmpl w:val="8C092F8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C95F949D"/>
    <w:multiLevelType w:val="multilevel"/>
    <w:tmpl w:val="C95F949D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FEB06D76"/>
    <w:multiLevelType w:val="multilevel"/>
    <w:tmpl w:val="FEB06D7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3">
    <w:nsid w:val="3DD84E5A"/>
    <w:multiLevelType w:val="singleLevel"/>
    <w:tmpl w:val="3DD84E5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hN2MxZGRkYTQ3OTZhYzNkN2MwMTcwMTc4MmUyYWYifQ=="/>
  </w:docVars>
  <w:rsids>
    <w:rsidRoot w:val="60BE2DE6"/>
    <w:rsid w:val="00050504"/>
    <w:rsid w:val="000E531D"/>
    <w:rsid w:val="00116599"/>
    <w:rsid w:val="00280D58"/>
    <w:rsid w:val="002A0826"/>
    <w:rsid w:val="00307F4A"/>
    <w:rsid w:val="00366E77"/>
    <w:rsid w:val="003759A5"/>
    <w:rsid w:val="003A4A26"/>
    <w:rsid w:val="005144E9"/>
    <w:rsid w:val="00583BBB"/>
    <w:rsid w:val="006259E1"/>
    <w:rsid w:val="00634EA8"/>
    <w:rsid w:val="006B0DF2"/>
    <w:rsid w:val="006D7C47"/>
    <w:rsid w:val="00781A9A"/>
    <w:rsid w:val="00923523"/>
    <w:rsid w:val="00A212DB"/>
    <w:rsid w:val="00AD7308"/>
    <w:rsid w:val="00B2248C"/>
    <w:rsid w:val="00B250FD"/>
    <w:rsid w:val="00B97896"/>
    <w:rsid w:val="00BF7F40"/>
    <w:rsid w:val="00C54691"/>
    <w:rsid w:val="00E73080"/>
    <w:rsid w:val="00EE72AA"/>
    <w:rsid w:val="00F02335"/>
    <w:rsid w:val="00FA0248"/>
    <w:rsid w:val="01C30A48"/>
    <w:rsid w:val="01C37439"/>
    <w:rsid w:val="03382898"/>
    <w:rsid w:val="052A16B2"/>
    <w:rsid w:val="05BC14A8"/>
    <w:rsid w:val="0DBB0F3A"/>
    <w:rsid w:val="1050611C"/>
    <w:rsid w:val="11317230"/>
    <w:rsid w:val="1164507C"/>
    <w:rsid w:val="11886F3B"/>
    <w:rsid w:val="1ECE1639"/>
    <w:rsid w:val="1F581925"/>
    <w:rsid w:val="201500D1"/>
    <w:rsid w:val="23D343E6"/>
    <w:rsid w:val="25777C99"/>
    <w:rsid w:val="27633C0A"/>
    <w:rsid w:val="27AE229B"/>
    <w:rsid w:val="2A217855"/>
    <w:rsid w:val="2C2D7581"/>
    <w:rsid w:val="2D114C0B"/>
    <w:rsid w:val="2F845599"/>
    <w:rsid w:val="316A4DD8"/>
    <w:rsid w:val="3462696C"/>
    <w:rsid w:val="3690739C"/>
    <w:rsid w:val="369B1FEA"/>
    <w:rsid w:val="384A2B8E"/>
    <w:rsid w:val="3E7D57C8"/>
    <w:rsid w:val="426A748F"/>
    <w:rsid w:val="434E0D4C"/>
    <w:rsid w:val="43AA0A01"/>
    <w:rsid w:val="43AB6419"/>
    <w:rsid w:val="45500BE1"/>
    <w:rsid w:val="468B386B"/>
    <w:rsid w:val="46955281"/>
    <w:rsid w:val="479E4788"/>
    <w:rsid w:val="48251CE4"/>
    <w:rsid w:val="4BCF7CC8"/>
    <w:rsid w:val="50AD6909"/>
    <w:rsid w:val="5149791A"/>
    <w:rsid w:val="517F797A"/>
    <w:rsid w:val="556171C3"/>
    <w:rsid w:val="56EA2FA1"/>
    <w:rsid w:val="5C9D7819"/>
    <w:rsid w:val="60BE2DE6"/>
    <w:rsid w:val="62B85B5F"/>
    <w:rsid w:val="67093770"/>
    <w:rsid w:val="6776644A"/>
    <w:rsid w:val="68266514"/>
    <w:rsid w:val="6A773116"/>
    <w:rsid w:val="71060F7C"/>
    <w:rsid w:val="71D37336"/>
    <w:rsid w:val="73015369"/>
    <w:rsid w:val="73E128A8"/>
    <w:rsid w:val="75CB768D"/>
    <w:rsid w:val="76734DB7"/>
    <w:rsid w:val="7B07209A"/>
    <w:rsid w:val="7F19483E"/>
    <w:rsid w:val="7F85271A"/>
    <w:rsid w:val="7F9F121C"/>
    <w:rsid w:val="EF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360" w:lineRule="auto"/>
      <w:ind w:left="720" w:hanging="720" w:firstLineChars="0"/>
      <w:outlineLvl w:val="2"/>
    </w:pPr>
    <w:rPr>
      <w:rFonts w:ascii="Times New Roman" w:hAnsi="Times New Roman" w:eastAsia="黑体"/>
      <w:b/>
      <w:sz w:val="32"/>
    </w:rPr>
  </w:style>
  <w:style w:type="paragraph" w:styleId="4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993"/>
      </w:tabs>
      <w:ind w:left="864" w:hanging="864" w:firstLineChars="0"/>
      <w:outlineLvl w:val="3"/>
    </w:pPr>
    <w:rPr>
      <w:rFonts w:ascii="Times New Roman" w:hAnsi="Times New Roman" w:eastAsia="黑体"/>
      <w:b/>
      <w:bCs/>
      <w:sz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1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2">
    <w:name w:val="页眉 字符"/>
    <w:basedOn w:val="10"/>
    <w:link w:val="7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10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26</Pages>
  <Words>2682</Words>
  <Characters>2702</Characters>
  <Lines>11</Lines>
  <Paragraphs>3</Paragraphs>
  <TotalTime>2</TotalTime>
  <ScaleCrop>false</ScaleCrop>
  <LinksUpToDate>false</LinksUpToDate>
  <CharactersWithSpaces>3002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2020-05-26T10:32:00Z</dcterms:created>
  <dc:creator>Sud Le</dc:creator>
  <cp:lastModifiedBy>sj-nfzx-lijing</cp:lastModifiedBy>
  <dcterms:modified xsi:type="dcterms:W3CDTF">2023-04-10T16:33:19Z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71A48DC3ADA545F9A0647E54A64287B0</vt:lpwstr>
  </property>
</Properties>
</file>